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Live-webinar: PTSS in de huisartspraktijk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Het webinar zal live plaatsvinden op 11 mei 2021 van 20.00 - 21.15 uur.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 Daarna zal accreditatie aangevraagd worden voor het on demand format (ABFE) voor de komende twee jaar.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Het webinar duurt ruim 1 uur en zal uit 3 onderwerpen van 20 minuten bestaan binnen het overkoepelende thema van PTSS in de huisartspraktijk. Er is ruimte voor interactie middels een live-chat en poll-vragen. De vragen van de live-chat zullen ook bij de presentator in de studio binnenkomen en direct aan tafel gesteld kunnen worden aan de inhoudelijke experts. De audiovisuele ondersteuning zal verlopen via het platform MedischeScholing.nl. De accreditatie-aanvraag wordt ingediend door organisatie DAI-artsen.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Sprekers en disclosures: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Stef Linsen, psychiater, geen disclosures.</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Astrid Hertogh, kaderhuisarts GGZ, geen disclosures</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Nynke de boer, psycholoog en directeur zorg  van kliniek Curalma, gespecialiseerde kliniek voor behandeling PTSS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Voorzitter/presentatrice:</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Petra Portengen, voorzitter NVvPO, geen disclosures</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b w:val="1"/>
          <w:sz w:val="26"/>
          <w:szCs w:val="26"/>
        </w:rPr>
      </w:pPr>
      <w:r w:rsidDel="00000000" w:rsidR="00000000" w:rsidRPr="00000000">
        <w:rPr>
          <w:b w:val="1"/>
          <w:sz w:val="26"/>
          <w:szCs w:val="26"/>
          <w:rtl w:val="0"/>
        </w:rPr>
        <w:t xml:space="preserve">Het globale programma weergegeven in abstracts inclusief leerdoelen: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Abstract Stef Linsen, psychiater: Achtergrond PTSS, prevalentie, spectrum in ernst met bijbehorende symptomatologie (20 minuten)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Leerdoelen:</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Kennis krijgen over het spectrum van PTSS van mild tot ernstig met bijbehorende prevalentie</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Kennis krijgen over de symptomatologie van PTSS</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Kennis krijgen over PTSS en variabele comorbiditeit met hierbij consequenties voor aanvullende therapie</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Kennis over psychosociale variabelen die van invloed zijn op het verloop van PTSS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een 10 punten powerpoint-bijdrage komen de omschrijving en symptomen van ptss aan bod. (Daarna wordt dit in de groep besproken, voorafgaand aan de vervolg presentaties). Daarnaast de bestaande variatie; bepaald door ernst maat en variabele co-morbiditeit.</w:t>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 morbiditeit kan natuurlijk leiden tot gerichte aanvullende acties in therapie)</w:t>
      </w:r>
    </w:p>
    <w:p w:rsidR="00000000" w:rsidDel="00000000" w:rsidP="00000000" w:rsidRDefault="00000000" w:rsidRPr="00000000" w14:paraId="0000001C">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datgene wat in de huisartspraktijk van belang is qua pro actieve screening, anamnestisch en m.b.v. enkele eenvoudige vragen lijsten.</w:t>
      </w:r>
    </w:p>
    <w:p w:rsidR="00000000" w:rsidDel="00000000" w:rsidP="00000000" w:rsidRDefault="00000000" w:rsidRPr="00000000" w14:paraId="0000001D">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Daarnaast zullen enkele belangrijke psychosociale variabelen die van belang zijn om op te letten behandeld worden.</w:t>
      </w:r>
    </w:p>
    <w:p w:rsidR="00000000" w:rsidDel="00000000" w:rsidP="00000000" w:rsidRDefault="00000000" w:rsidRPr="00000000" w14:paraId="0000001E">
      <w:pP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Enkele bronnen die gebruikt zullen worden:</w:t>
      </w:r>
    </w:p>
    <w:p w:rsidR="00000000" w:rsidDel="00000000" w:rsidP="00000000" w:rsidRDefault="00000000" w:rsidRPr="00000000" w14:paraId="00000020">
      <w:pPr>
        <w:shd w:fill="ffffff" w:val="clear"/>
        <w:spacing w:line="288" w:lineRule="auto"/>
        <w:rPr>
          <w:rFonts w:ascii="Calibri" w:cs="Calibri" w:eastAsia="Calibri" w:hAnsi="Calibri"/>
          <w:b w:val="1"/>
        </w:rPr>
      </w:pPr>
      <w:hyperlink r:id="rId6">
        <w:r w:rsidDel="00000000" w:rsidR="00000000" w:rsidRPr="00000000">
          <w:rPr>
            <w:rFonts w:ascii="Calibri" w:cs="Calibri" w:eastAsia="Calibri" w:hAnsi="Calibri"/>
            <w:b w:val="1"/>
            <w:color w:val="000080"/>
            <w:u w:val="single"/>
            <w:rtl w:val="0"/>
          </w:rPr>
          <w:t xml:space="preserve">https://www.vgct.nl/vgct.nl/public/over-cgt/factsheets/factsheet-ptss</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1">
      <w:pPr>
        <w:shd w:fill="ffffff" w:val="clear"/>
        <w:spacing w:line="288" w:lineRule="auto"/>
        <w:rPr>
          <w:rFonts w:ascii="Calibri" w:cs="Calibri" w:eastAsia="Calibri" w:hAnsi="Calibri"/>
          <w:b w:val="1"/>
        </w:rPr>
      </w:pPr>
      <w:hyperlink r:id="rId7">
        <w:r w:rsidDel="00000000" w:rsidR="00000000" w:rsidRPr="00000000">
          <w:rPr>
            <w:rFonts w:ascii="Calibri" w:cs="Calibri" w:eastAsia="Calibri" w:hAnsi="Calibri"/>
            <w:b w:val="1"/>
            <w:color w:val="000080"/>
            <w:u w:val="single"/>
            <w:rtl w:val="0"/>
          </w:rPr>
          <w:t xml:space="preserve">https://www.vgct.nl/vgct.nl/public/over-cgt/factsheets/factsheet-trauma-en-psychose</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2">
      <w:pPr>
        <w:shd w:fill="ffffff" w:val="clear"/>
        <w:rPr>
          <w:rFonts w:ascii="Calibri" w:cs="Calibri" w:eastAsia="Calibri" w:hAnsi="Calibri"/>
          <w:b w:val="1"/>
          <w:color w:val="1155cc"/>
          <w:u w:val="single"/>
        </w:rPr>
      </w:pPr>
      <w:hyperlink r:id="rId8">
        <w:r w:rsidDel="00000000" w:rsidR="00000000" w:rsidRPr="00000000">
          <w:rPr>
            <w:rFonts w:ascii="Calibri" w:cs="Calibri" w:eastAsia="Calibri" w:hAnsi="Calibri"/>
            <w:b w:val="1"/>
            <w:color w:val="1155cc"/>
            <w:u w:val="single"/>
            <w:rtl w:val="0"/>
          </w:rPr>
          <w:t xml:space="preserve">https://www.jellinek.nl/vraag-antwoord/wanneer-is-iemand-een-probleemdrinker-of-een-alco</w:t>
        </w:r>
      </w:hyperlink>
      <w:r w:rsidDel="00000000" w:rsidR="00000000" w:rsidRPr="00000000">
        <w:rPr>
          <w:rtl w:val="0"/>
        </w:rPr>
      </w:r>
    </w:p>
    <w:p w:rsidR="00000000" w:rsidDel="00000000" w:rsidP="00000000" w:rsidRDefault="00000000" w:rsidRPr="00000000" w14:paraId="00000023">
      <w:pPr>
        <w:shd w:fill="ffffff" w:val="clear"/>
        <w:spacing w:line="288" w:lineRule="auto"/>
        <w:rPr>
          <w:rFonts w:ascii="Calibri" w:cs="Calibri" w:eastAsia="Calibri" w:hAnsi="Calibri"/>
        </w:rPr>
      </w:pPr>
      <w:hyperlink r:id="rId9">
        <w:r w:rsidDel="00000000" w:rsidR="00000000" w:rsidRPr="00000000">
          <w:rPr>
            <w:rFonts w:ascii="Calibri" w:cs="Calibri" w:eastAsia="Calibri" w:hAnsi="Calibri"/>
            <w:color w:val="000080"/>
            <w:u w:val="single"/>
            <w:rtl w:val="0"/>
          </w:rPr>
          <w:t xml:space="preserve">https://www.jellinek.nl/over-jellinek/onderzoek-publicaties/innovatieve-behandelingen/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keepLines w:val="1"/>
        <w:shd w:fill="ffffff" w:val="clear"/>
        <w:spacing w:after="340" w:line="240" w:lineRule="auto"/>
        <w:rPr>
          <w:rFonts w:ascii="Calibri" w:cs="Calibri" w:eastAsia="Calibri" w:hAnsi="Calibri"/>
        </w:rPr>
      </w:pPr>
      <w:hyperlink r:id="rId10">
        <w:r w:rsidDel="00000000" w:rsidR="00000000" w:rsidRPr="00000000">
          <w:rPr>
            <w:rFonts w:ascii="Calibri" w:cs="Calibri" w:eastAsia="Calibri" w:hAnsi="Calibri"/>
            <w:color w:val="000080"/>
            <w:u w:val="single"/>
            <w:rtl w:val="0"/>
          </w:rPr>
          <w:t xml:space="preserve">https://www.ntvg.nl/artikelen/de-posttraumatische-stressstoornis/volledig</w:t>
        </w:r>
      </w:hyperlink>
      <w:r w:rsidDel="00000000" w:rsidR="00000000" w:rsidRPr="00000000">
        <w:rPr>
          <w:rFonts w:ascii="Calibri" w:cs="Calibri" w:eastAsia="Calibri" w:hAnsi="Calibri"/>
          <w:rtl w:val="0"/>
        </w:rPr>
        <w:t xml:space="preserve">   (2013)</w:t>
      </w:r>
    </w:p>
    <w:p w:rsidR="00000000" w:rsidDel="00000000" w:rsidP="00000000" w:rsidRDefault="00000000" w:rsidRPr="00000000" w14:paraId="00000025">
      <w:pPr>
        <w:keepLines w:val="1"/>
        <w:shd w:fill="ffffff" w:val="clear"/>
        <w:spacing w:line="240" w:lineRule="auto"/>
        <w:rPr>
          <w:color w:val="1155cc"/>
          <w:sz w:val="18"/>
          <w:szCs w:val="18"/>
          <w:u w:val="single"/>
        </w:rPr>
      </w:pPr>
      <w:hyperlink r:id="rId11">
        <w:r w:rsidDel="00000000" w:rsidR="00000000" w:rsidRPr="00000000">
          <w:rPr>
            <w:color w:val="1155cc"/>
            <w:sz w:val="18"/>
            <w:szCs w:val="18"/>
            <w:u w:val="single"/>
            <w:rtl w:val="0"/>
          </w:rPr>
          <w:t xml:space="preserve">https://www.zorginzicht.nl/binaries/content/assets/zorginzicht/kwaliteitsinstrumenten/Generieke+module+Comorbiditeit.PD</w:t>
        </w:r>
      </w:hyperlink>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Abstract Astrid Hertogh, kaderhuisarts GGZ: PTSS in de huisartspraktijk (20 minuten)</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Leerdoelen:</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Eerste presentatie van PTSS in de huisartspraktijk beter leren inschatten: red flags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De cursist leert wanneer er medicatie is geïndiceerd in de behandeling van PTSS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De cursist leert welke rol de praktijkondersteuner kan spelen in de behandeling van PTSS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De cursist leert welke rol de huisarts kan spelen bij de behandeling van PTSS vanuit de eerste lijn en wanneer er doorverwezen moet worden.</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Abstract:</w:t>
      </w:r>
    </w:p>
    <w:p w:rsidR="00000000" w:rsidDel="00000000" w:rsidP="00000000" w:rsidRDefault="00000000" w:rsidRPr="00000000" w14:paraId="00000033">
      <w:pPr>
        <w:ind w:left="0" w:firstLine="0"/>
        <w:rPr/>
      </w:pPr>
      <w:r w:rsidDel="00000000" w:rsidR="00000000" w:rsidRPr="00000000">
        <w:rPr>
          <w:rtl w:val="0"/>
        </w:rPr>
        <w:t xml:space="preserve">Wanneer denk je in de huisartsenpraktijk aan PTSS? Hoe stel je de diagnose en</w:t>
      </w:r>
    </w:p>
    <w:p w:rsidR="00000000" w:rsidDel="00000000" w:rsidP="00000000" w:rsidRDefault="00000000" w:rsidRPr="00000000" w14:paraId="00000034">
      <w:pPr>
        <w:ind w:left="0" w:firstLine="0"/>
        <w:rPr/>
      </w:pPr>
      <w:r w:rsidDel="00000000" w:rsidR="00000000" w:rsidRPr="00000000">
        <w:rPr>
          <w:rtl w:val="0"/>
        </w:rPr>
        <w:t xml:space="preserve">wat kan je zelf voor je patiënt betekenen? Is medicatie geïndiceerd? Wanneer</w:t>
      </w:r>
    </w:p>
    <w:p w:rsidR="00000000" w:rsidDel="00000000" w:rsidP="00000000" w:rsidRDefault="00000000" w:rsidRPr="00000000" w14:paraId="00000035">
      <w:pPr>
        <w:ind w:left="0" w:firstLine="0"/>
        <w:rPr/>
      </w:pPr>
      <w:r w:rsidDel="00000000" w:rsidR="00000000" w:rsidRPr="00000000">
        <w:rPr>
          <w:rtl w:val="0"/>
        </w:rPr>
        <w:t xml:space="preserve">verwijs je door? Welke rol speelt de POH-GGZ? Aan de hand van casuïstiek</w:t>
      </w:r>
    </w:p>
    <w:p w:rsidR="00000000" w:rsidDel="00000000" w:rsidP="00000000" w:rsidRDefault="00000000" w:rsidRPr="00000000" w14:paraId="00000036">
      <w:pPr>
        <w:ind w:left="0" w:firstLine="0"/>
        <w:rPr/>
      </w:pPr>
      <w:r w:rsidDel="00000000" w:rsidR="00000000" w:rsidRPr="00000000">
        <w:rPr>
          <w:rtl w:val="0"/>
        </w:rPr>
        <w:t xml:space="preserve">gaan we hier tijdens de webinar mee aan de slag.</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Abstract Nynke de Boer, psycholoog en directeur Curalma: organisatie van zorg rondom PTSS</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Leerdoelen:</w:t>
      </w:r>
    </w:p>
    <w:p w:rsidR="00000000" w:rsidDel="00000000" w:rsidP="00000000" w:rsidRDefault="00000000" w:rsidRPr="00000000" w14:paraId="0000003C">
      <w:pPr>
        <w:numPr>
          <w:ilvl w:val="0"/>
          <w:numId w:val="2"/>
        </w:numPr>
        <w:ind w:left="720" w:hanging="360"/>
        <w:rPr/>
      </w:pPr>
      <w:r w:rsidDel="00000000" w:rsidR="00000000" w:rsidRPr="00000000">
        <w:rPr>
          <w:rtl w:val="0"/>
        </w:rPr>
        <w:t xml:space="preserve">De cursist krijgt inzicht in de huidige behandelingen van PTSS.</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De cursist krijg inzicht in de preventie van PTSS.</w:t>
      </w:r>
    </w:p>
    <w:p w:rsidR="00000000" w:rsidDel="00000000" w:rsidP="00000000" w:rsidRDefault="00000000" w:rsidRPr="00000000" w14:paraId="0000003E">
      <w:pPr>
        <w:numPr>
          <w:ilvl w:val="0"/>
          <w:numId w:val="2"/>
        </w:numPr>
        <w:ind w:left="720" w:hanging="360"/>
        <w:rPr/>
      </w:pPr>
      <w:r w:rsidDel="00000000" w:rsidR="00000000" w:rsidRPr="00000000">
        <w:rPr>
          <w:rtl w:val="0"/>
        </w:rPr>
        <w:t xml:space="preserve">De cursist krijgt inzicht in welke behandeling het best past bij welk type PTSS</w:t>
      </w:r>
    </w:p>
    <w:p w:rsidR="00000000" w:rsidDel="00000000" w:rsidP="00000000" w:rsidRDefault="00000000" w:rsidRPr="00000000" w14:paraId="0000003F">
      <w:pPr>
        <w:numPr>
          <w:ilvl w:val="0"/>
          <w:numId w:val="2"/>
        </w:numPr>
        <w:ind w:left="720" w:hanging="360"/>
        <w:rPr/>
      </w:pPr>
      <w:r w:rsidDel="00000000" w:rsidR="00000000" w:rsidRPr="00000000">
        <w:rPr>
          <w:rtl w:val="0"/>
        </w:rPr>
        <w:t xml:space="preserve">De cursist krijgt inzicht in de huidige organisatie van psychotherapeutische zorg rondom PTSS in Nederland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Hoe is de huidige zorg rondom psycho trauma na een stressor georganiseerd? Hoe zorgen we dat we signalen van PTSS vroeg onderkennen en preventief kunnen werken. Wat zijn risicofactoren van het ontwikkelen van PTSS bij kinderen en wat zijn de signalen? Hoe ziet de behandeling van PTSS er in de praktijk uit en wat zijn de resultaten qua herstel en participatie/re-integratie in de samenleving?</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zorginzicht.nl/binaries/content/assets/zorginzicht/kwaliteitsinstrumenten/Generieke+module+Comorbiditeit.PDF" TargetMode="External"/><Relationship Id="rId10" Type="http://schemas.openxmlformats.org/officeDocument/2006/relationships/hyperlink" Target="https://www.ntvg.nl/artikelen/de-posttraumatische-stressstoornis/volledig" TargetMode="External"/><Relationship Id="rId9" Type="http://schemas.openxmlformats.org/officeDocument/2006/relationships/hyperlink" Target="https://www.jellinek.nl/over-jellinek/onderzoek-publicaties/innovatieve-behandelingen/" TargetMode="External"/><Relationship Id="rId5" Type="http://schemas.openxmlformats.org/officeDocument/2006/relationships/styles" Target="styles.xml"/><Relationship Id="rId6" Type="http://schemas.openxmlformats.org/officeDocument/2006/relationships/hyperlink" Target="https://www.vgct.nl/vgct.nl/public/over-cgt/factsheets/factsheet-ptss" TargetMode="External"/><Relationship Id="rId7" Type="http://schemas.openxmlformats.org/officeDocument/2006/relationships/hyperlink" Target="https://www.vgct.nl/vgct.nl/public/over-cgt/factsheets/factsheet-trauma-en-psychose" TargetMode="External"/><Relationship Id="rId8" Type="http://schemas.openxmlformats.org/officeDocument/2006/relationships/hyperlink" Target="https://www.jellinek.nl/vraag-antwoord/wanneer-is-iemand-een-probleemdrinker-of-een-alcoho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